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СОВЕТ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</w:p>
    <w:p w:rsidR="003D73B4" w:rsidRPr="00322F86" w:rsidRDefault="0031012F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ПОСЕЛЕНИЯ</w:t>
      </w: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</w:p>
    <w:p w:rsid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</w:p>
    <w:p w:rsidR="00322F86" w:rsidRDefault="00322F86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РЕШЕНИЕ</w:t>
      </w:r>
    </w:p>
    <w:p w:rsidR="00322F86" w:rsidRDefault="00121787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сессии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от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121787">
        <w:rPr>
          <w:rFonts w:ascii="Arial" w:hAnsi="Arial" w:cs="Arial"/>
          <w:sz w:val="24"/>
          <w:szCs w:val="24"/>
        </w:rPr>
        <w:t>13.09.2023</w:t>
      </w:r>
      <w:r w:rsidRPr="00322F86">
        <w:rPr>
          <w:rFonts w:ascii="Arial" w:hAnsi="Arial" w:cs="Arial"/>
          <w:sz w:val="24"/>
          <w:szCs w:val="24"/>
        </w:rPr>
        <w:t>г.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121787">
        <w:rPr>
          <w:rFonts w:ascii="Arial" w:hAnsi="Arial" w:cs="Arial"/>
          <w:sz w:val="24"/>
          <w:szCs w:val="24"/>
        </w:rPr>
        <w:t>№ 169</w:t>
      </w:r>
    </w:p>
    <w:p w:rsidR="00322F86" w:rsidRDefault="0031012F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опёнкина</w:t>
      </w:r>
      <w:proofErr w:type="spellEnd"/>
    </w:p>
    <w:p w:rsidR="00322F86" w:rsidRDefault="00322F86" w:rsidP="00322F8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1012F" w:rsidRDefault="003D73B4" w:rsidP="00EF638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638A">
        <w:rPr>
          <w:rFonts w:ascii="Arial" w:eastAsia="Times New Roman" w:hAnsi="Arial" w:cs="Arial"/>
          <w:b/>
          <w:sz w:val="32"/>
          <w:szCs w:val="32"/>
        </w:rPr>
        <w:t>Об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Положения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порядке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организации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проведения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общественных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обсуждений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или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публичных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слушаний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вопросам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градостроительной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деятельности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 w:rsidR="0031012F">
        <w:rPr>
          <w:rFonts w:ascii="Arial" w:eastAsia="Times New Roman" w:hAnsi="Arial" w:cs="Arial"/>
          <w:b/>
          <w:sz w:val="32"/>
          <w:szCs w:val="32"/>
        </w:rPr>
        <w:t>Копёнкинского</w:t>
      </w:r>
      <w:proofErr w:type="spellEnd"/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сельского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поселения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 w:rsidRPr="00EF638A">
        <w:rPr>
          <w:rFonts w:ascii="Arial" w:eastAsia="Times New Roman" w:hAnsi="Arial" w:cs="Arial"/>
          <w:b/>
          <w:sz w:val="32"/>
          <w:szCs w:val="32"/>
        </w:rPr>
        <w:t>Россошанского</w:t>
      </w:r>
      <w:proofErr w:type="spellEnd"/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района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EF638A" w:rsidRPr="00DD2DBB" w:rsidRDefault="00A468A8" w:rsidP="00DD2DB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="003D73B4" w:rsidRPr="00EF638A">
        <w:rPr>
          <w:rFonts w:ascii="Arial" w:eastAsia="Times New Roman" w:hAnsi="Arial" w:cs="Arial"/>
          <w:b/>
          <w:sz w:val="32"/>
          <w:szCs w:val="32"/>
        </w:rPr>
        <w:t>Воронежской</w:t>
      </w:r>
      <w:r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="003D73B4" w:rsidRPr="00EF638A"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322F86" w:rsidRDefault="003D73B4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2F86">
        <w:rPr>
          <w:rFonts w:ascii="Arial" w:eastAsia="Times New Roman" w:hAnsi="Arial" w:cs="Arial"/>
          <w:sz w:val="24"/>
          <w:szCs w:val="24"/>
        </w:rPr>
        <w:t>Рассмотрев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экспертное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заключение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правового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управления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Правительства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области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от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="00121787" w:rsidRPr="00121787">
        <w:rPr>
          <w:rFonts w:ascii="Arial" w:eastAsia="Times New Roman" w:hAnsi="Arial" w:cs="Arial"/>
          <w:sz w:val="24"/>
          <w:szCs w:val="24"/>
        </w:rPr>
        <w:t>18.08.2023г.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№</w:t>
      </w:r>
      <w:r w:rsidR="00121787" w:rsidRPr="00121787">
        <w:rPr>
          <w:rFonts w:ascii="Arial" w:eastAsia="Times New Roman" w:hAnsi="Arial" w:cs="Arial"/>
          <w:sz w:val="24"/>
          <w:szCs w:val="24"/>
        </w:rPr>
        <w:t>19-62/20-1540-П</w:t>
      </w:r>
      <w:r w:rsidRPr="00121787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,</w:t>
      </w:r>
      <w:r w:rsidR="00A468A8" w:rsidRPr="00121787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в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соответствии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с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Градостроительным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кодексом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Российской</w:t>
      </w:r>
      <w:r w:rsidR="00A468A8" w:rsidRPr="00121787">
        <w:rPr>
          <w:rFonts w:ascii="Arial" w:eastAsia="Times New Roman" w:hAnsi="Arial" w:cs="Arial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Федерации,</w:t>
      </w:r>
      <w:r w:rsidR="00A468A8" w:rsidRPr="00121787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</w:rPr>
        <w:t>Федеральным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законом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от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06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октября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2003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года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№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131-ФЗ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«Об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общих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Федерации»,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Уставом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</w:rPr>
        <w:t>Копёнкинского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поселения,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Совет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народных</w:t>
      </w:r>
      <w:r w:rsidR="00A468A8"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</w:rPr>
        <w:t>Копёнкинского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РЕШИЛ: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1.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Утвердить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прилагаемое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12F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F86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F86">
        <w:rPr>
          <w:rFonts w:ascii="Arial" w:hAnsi="Arial" w:cs="Arial"/>
          <w:sz w:val="24"/>
          <w:szCs w:val="24"/>
        </w:rPr>
        <w:t>Воронесжкой</w:t>
      </w:r>
      <w:proofErr w:type="spell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согласно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приложению.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2.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Признать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утратившим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силу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Совета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12F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от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="0031012F" w:rsidRPr="00121787">
        <w:rPr>
          <w:rFonts w:ascii="Arial" w:hAnsi="Arial" w:cs="Arial"/>
          <w:sz w:val="24"/>
          <w:szCs w:val="24"/>
        </w:rPr>
        <w:t>01.06.2023г.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="0031012F" w:rsidRPr="00121787">
        <w:rPr>
          <w:rFonts w:ascii="Arial" w:hAnsi="Arial" w:cs="Arial"/>
          <w:sz w:val="24"/>
          <w:szCs w:val="24"/>
        </w:rPr>
        <w:t>№ 146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«Об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утверждении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Положения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о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порядке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организации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и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проведения</w:t>
      </w:r>
      <w:r w:rsidR="00A468A8" w:rsidRPr="00121787">
        <w:rPr>
          <w:rFonts w:ascii="Arial" w:hAnsi="Arial" w:cs="Arial"/>
          <w:sz w:val="24"/>
          <w:szCs w:val="24"/>
        </w:rPr>
        <w:t xml:space="preserve"> </w:t>
      </w:r>
      <w:r w:rsidRPr="00121787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12F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2F86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области».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3.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Опубликовать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«Вестнике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правовых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актов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1012F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сельского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поселения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2F86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района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Воронежской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области».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4.</w:t>
      </w:r>
      <w:r w:rsidR="00A468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вступает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законную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силу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дня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его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официального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5.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22F86">
        <w:rPr>
          <w:rFonts w:ascii="Arial" w:hAnsi="Arial" w:cs="Arial"/>
          <w:sz w:val="24"/>
          <w:szCs w:val="24"/>
        </w:rPr>
        <w:t>Контроль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за</w:t>
      </w:r>
      <w:proofErr w:type="gram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исполнением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настоящего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возложить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главу</w:t>
      </w:r>
      <w:r w:rsidR="00A4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12F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3D73B4" w:rsidRPr="00322F86" w:rsidTr="003A2CB3"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86">
              <w:rPr>
                <w:rFonts w:ascii="Arial" w:hAnsi="Arial" w:cs="Arial"/>
                <w:sz w:val="24"/>
                <w:szCs w:val="24"/>
              </w:rPr>
              <w:t>Глава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012F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3D73B4" w:rsidRPr="00322F86" w:rsidRDefault="0031012F" w:rsidP="003101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И.С. Тронов</w:t>
            </w:r>
          </w:p>
        </w:tc>
      </w:tr>
    </w:tbl>
    <w:p w:rsidR="003D73B4" w:rsidRP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F638A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13.09.2023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169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EF638A" w:rsidRDefault="00EF638A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  <w:proofErr w:type="gramEnd"/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благоприятные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жизнедеятельности,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правообладателей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понимается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выносятся: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план),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рекреационного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назначения;</w:t>
      </w:r>
    </w:p>
    <w:p w:rsidR="003D73B4" w:rsidRPr="00322F86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принимаются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отношении: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землепользования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застройки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комплексному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устойчивому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территории;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некоммерческому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товариществу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огородничества;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линейных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лесного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фонда.</w:t>
      </w:r>
    </w:p>
    <w:p w:rsid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.Орган,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проводимые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назначаются</w:t>
      </w:r>
      <w:proofErr w:type="gram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региональном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портале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системы)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часах,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касающихся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семь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способами,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считаются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A604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месяц.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высших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исполнительных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наряду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случаями,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актуальную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максимально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заметны,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освещены,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хорошо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просматриваемы,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функциональны,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высоту,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рассчитанную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человека.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карманами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печатаются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исправлений.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экспозиция).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организуется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396625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Воронежская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область,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Россошанский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 xml:space="preserve">посёлок </w:t>
      </w:r>
      <w:proofErr w:type="spellStart"/>
      <w:r w:rsidR="00121787">
        <w:rPr>
          <w:rFonts w:ascii="Arial" w:eastAsia="Times New Roman" w:hAnsi="Arial" w:cs="Arial"/>
          <w:sz w:val="24"/>
          <w:szCs w:val="24"/>
          <w:lang w:eastAsia="ru-RU"/>
        </w:rPr>
        <w:t>Копёнкина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121787" w:rsidRPr="001217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Веселова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д.1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овывается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разработчика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консультант).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ведется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="00121787" w:rsidRPr="00D2636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121787" w:rsidRPr="001217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="00121787" w:rsidRPr="00D2636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kopyonkinskoe</w:t>
        </w:r>
        <w:proofErr w:type="spellEnd"/>
        <w:r w:rsidR="00121787" w:rsidRPr="001217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-</w:t>
        </w:r>
        <w:r w:rsidR="00121787" w:rsidRPr="00D2636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</w:t>
        </w:r>
        <w:r w:rsidR="00121787" w:rsidRPr="001217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20.</w:t>
        </w:r>
        <w:proofErr w:type="spellStart"/>
        <w:r w:rsidR="00121787" w:rsidRPr="00D2636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gosweb</w:t>
        </w:r>
        <w:proofErr w:type="spellEnd"/>
        <w:r w:rsidR="00121787" w:rsidRPr="001217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121787" w:rsidRPr="00D2636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gosuslugi</w:t>
        </w:r>
        <w:proofErr w:type="spellEnd"/>
        <w:r w:rsidR="00121787" w:rsidRPr="001217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121787" w:rsidRPr="00D2636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  <w:r w:rsidR="00121787" w:rsidRPr="001217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="001217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1787" w:rsidRPr="001217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вкладке,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отражающей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определяющем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центрах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</w:p>
    <w:p w:rsidR="00A468A8" w:rsidRPr="00070FC8" w:rsidRDefault="00A468A8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(ОГРН),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Обработка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27.07.2006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152-ФЗ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данных».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проекта: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недостоверных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IX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(собрания)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желающие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отметки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56A"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доводит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присутствующих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приглашенных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отведенного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обсуждаемому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заданы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13BB7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очередности.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внеочередное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употреблять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речи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грубые,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оскорбительные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выражения,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наносящие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достоинству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призывать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незаконным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действиям,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заведомо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ложную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необоснованные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обвинения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чей-либо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отводится: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(содокладчику),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вмешиваться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прерывать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выкриками,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аплодисментами.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несоблюдении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удаляются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оглашает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ограничить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фотодокументы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аудио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видеосъемки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501181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01182"/>
      <w:bookmarkEnd w:id="0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01183"/>
      <w:bookmarkEnd w:id="1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содержащаяся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источник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01184"/>
      <w:bookmarkEnd w:id="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слушания;</w:t>
      </w:r>
    </w:p>
    <w:bookmarkEnd w:id="3"/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прилагается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включающий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получить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пяти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4" w:name="sub_50102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указаны: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501221"/>
      <w:bookmarkEnd w:id="4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501222"/>
      <w:bookmarkEnd w:id="5"/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501223"/>
      <w:bookmarkEnd w:id="6"/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501224"/>
      <w:bookmarkEnd w:id="7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одинаковых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обобщение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501225"/>
      <w:bookmarkEnd w:id="8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аргументированные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рекомендации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bookmarkEnd w:id="9"/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архивном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деле.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заинтересованным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возможностей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отнесении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конкретных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3D73B4" w:rsidRPr="00070FC8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отклонении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доработку.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двадцать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финансируются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0D078E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____________года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проходит: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состоится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22F86" w:rsidRPr="00121787" w:rsidRDefault="003D73B4" w:rsidP="0012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(прописывается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случае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проведения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нескольких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собраний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участников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общественных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обсуждений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или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публичных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слушаний)</w:t>
      </w:r>
    </w:p>
    <w:p w:rsidR="00121787" w:rsidRPr="00121787" w:rsidRDefault="00121787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0FC8">
        <w:rPr>
          <w:rFonts w:ascii="Arial" w:hAnsi="Arial" w:cs="Arial"/>
          <w:color w:val="000000"/>
          <w:sz w:val="24"/>
          <w:szCs w:val="24"/>
        </w:rPr>
        <w:t>В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период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размещения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на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официальном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сайте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участники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публичных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слушаний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имеют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право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вносить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предложения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замечания,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касающиеся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такого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(журнале)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паспорт,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действует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проекта____________________________________,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(информация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проекте)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доверенности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</w:p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правоустанавливающих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правообладателей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внесшего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322F86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лица,)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проживающий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(зарегистрированный)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(название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улицы,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(квартиры))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документах: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(заполняется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вынесенным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вношу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92"/>
      </w:tblGrid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(вносится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выступить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слушаний)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3D73B4" w:rsidRPr="00070FC8" w:rsidRDefault="003D73B4" w:rsidP="00C8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принявших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вынесенного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лицах,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слушаний;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посредством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Книге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экспозиции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подлежащего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слушаниях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p w:rsidR="003D73B4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322F86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C801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C80154" w:rsidRPr="00070FC8" w:rsidRDefault="00C8015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слушаниях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ы):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отдельная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ции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проходила(проходили):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121787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(прописывается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если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организовано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несколько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экспозиций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рассматриваемого</w:t>
      </w:r>
      <w:r w:rsidR="00A468A8"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12178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проекта)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podgornoe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rossoshmr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«___»___________20____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подавались: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будние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__________;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12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12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протоколу:</w:t>
      </w:r>
    </w:p>
    <w:p w:rsidR="00322F86" w:rsidRPr="00070FC8" w:rsidRDefault="003D73B4" w:rsidP="0012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73B4" w:rsidRPr="00070FC8" w:rsidRDefault="003D73B4" w:rsidP="0012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D73B4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22F86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1012F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proofErr w:type="spell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6CF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1576CF" w:rsidRPr="00070FC8" w:rsidRDefault="003D73B4" w:rsidP="001217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1576CF" w:rsidRPr="00121787" w:rsidRDefault="003D73B4" w:rsidP="0012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заключения)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12178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1576CF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Аргументированные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12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157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r w:rsidR="00121787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sectPr w:rsidR="00322F86" w:rsidSect="00322F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3A" w:rsidRDefault="00C53D3A" w:rsidP="003D73B4">
      <w:pPr>
        <w:spacing w:after="0" w:line="240" w:lineRule="auto"/>
      </w:pPr>
      <w:r>
        <w:separator/>
      </w:r>
    </w:p>
  </w:endnote>
  <w:endnote w:type="continuationSeparator" w:id="0">
    <w:p w:rsidR="00C53D3A" w:rsidRDefault="00C53D3A" w:rsidP="003D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3A" w:rsidRDefault="00C53D3A" w:rsidP="003D73B4">
      <w:pPr>
        <w:spacing w:after="0" w:line="240" w:lineRule="auto"/>
      </w:pPr>
      <w:r>
        <w:separator/>
      </w:r>
    </w:p>
  </w:footnote>
  <w:footnote w:type="continuationSeparator" w:id="0">
    <w:p w:rsidR="00C53D3A" w:rsidRDefault="00C53D3A" w:rsidP="003D73B4">
      <w:pPr>
        <w:spacing w:after="0" w:line="240" w:lineRule="auto"/>
      </w:pPr>
      <w:r>
        <w:continuationSeparator/>
      </w:r>
    </w:p>
  </w:footnote>
  <w:footnote w:id="1">
    <w:p w:rsidR="00121787" w:rsidRPr="00CA4F1D" w:rsidRDefault="00121787" w:rsidP="003D73B4">
      <w:pPr>
        <w:pStyle w:val="a4"/>
        <w:jc w:val="both"/>
        <w:rPr>
          <w:rFonts w:ascii="Arial" w:hAnsi="Arial" w:cs="Arial"/>
          <w:sz w:val="18"/>
        </w:rPr>
      </w:pPr>
      <w:r w:rsidRPr="00070FC8">
        <w:rPr>
          <w:rStyle w:val="a6"/>
          <w:rFonts w:ascii="Arial" w:hAnsi="Arial" w:cs="Arial"/>
          <w:sz w:val="18"/>
        </w:rPr>
        <w:footnoteRef/>
      </w:r>
      <w:r w:rsidRPr="00070FC8">
        <w:rPr>
          <w:rFonts w:ascii="Arial" w:hAnsi="Arial" w:cs="Arial"/>
          <w:sz w:val="18"/>
        </w:rPr>
        <w:t xml:space="preserve"> Согласно статье 25 Устава Подгоренского сельского поселения, глава сельского поселения исполняет полномочия главы администрации и председателя представительного органа сельского поселения.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3B4"/>
    <w:rsid w:val="00042E24"/>
    <w:rsid w:val="00070FC8"/>
    <w:rsid w:val="000D078E"/>
    <w:rsid w:val="00121787"/>
    <w:rsid w:val="0013652A"/>
    <w:rsid w:val="001576CF"/>
    <w:rsid w:val="0031012F"/>
    <w:rsid w:val="00322F86"/>
    <w:rsid w:val="003379E6"/>
    <w:rsid w:val="003A2CB3"/>
    <w:rsid w:val="003D73B4"/>
    <w:rsid w:val="005B012A"/>
    <w:rsid w:val="006903B4"/>
    <w:rsid w:val="0076375A"/>
    <w:rsid w:val="00771A8A"/>
    <w:rsid w:val="00847D96"/>
    <w:rsid w:val="008D476E"/>
    <w:rsid w:val="00914764"/>
    <w:rsid w:val="009F4CA4"/>
    <w:rsid w:val="00A468A8"/>
    <w:rsid w:val="00A604B3"/>
    <w:rsid w:val="00B0256A"/>
    <w:rsid w:val="00BA4FF2"/>
    <w:rsid w:val="00C5371C"/>
    <w:rsid w:val="00C53D3A"/>
    <w:rsid w:val="00C80154"/>
    <w:rsid w:val="00CC2BFA"/>
    <w:rsid w:val="00DD2DBB"/>
    <w:rsid w:val="00E13BB7"/>
    <w:rsid w:val="00E747F8"/>
    <w:rsid w:val="00EF638A"/>
    <w:rsid w:val="00F635E9"/>
    <w:rsid w:val="00F9780E"/>
    <w:rsid w:val="00FD6C17"/>
    <w:rsid w:val="00FD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3B4"/>
    <w:rPr>
      <w:color w:val="0000FF"/>
      <w:u w:val="none"/>
    </w:rPr>
  </w:style>
  <w:style w:type="paragraph" w:styleId="a4">
    <w:name w:val="footnote text"/>
    <w:basedOn w:val="a"/>
    <w:link w:val="a5"/>
    <w:uiPriority w:val="99"/>
    <w:semiHidden/>
    <w:unhideWhenUsed/>
    <w:rsid w:val="003D73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D73B4"/>
    <w:rPr>
      <w:sz w:val="20"/>
      <w:szCs w:val="20"/>
    </w:rPr>
  </w:style>
  <w:style w:type="character" w:styleId="a6">
    <w:name w:val="footnote reference"/>
    <w:uiPriority w:val="99"/>
    <w:semiHidden/>
    <w:unhideWhenUsed/>
    <w:rsid w:val="003D73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pyonkinskoe-r20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2023-09-13T12:44:00Z</cp:lastPrinted>
  <dcterms:created xsi:type="dcterms:W3CDTF">2023-09-13T12:47:00Z</dcterms:created>
  <dcterms:modified xsi:type="dcterms:W3CDTF">2023-09-13T12:47:00Z</dcterms:modified>
</cp:coreProperties>
</file>